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9F" w:rsidRDefault="001B209F" w:rsidP="001B209F">
      <w:pPr>
        <w:jc w:val="center"/>
        <w:rPr>
          <w:b/>
          <w:bCs/>
        </w:rPr>
      </w:pPr>
      <w:r>
        <w:rPr>
          <w:b/>
          <w:bCs/>
        </w:rPr>
        <w:t xml:space="preserve">2021 </w:t>
      </w:r>
      <w:r w:rsidR="00B97A4A">
        <w:rPr>
          <w:b/>
          <w:bCs/>
        </w:rPr>
        <w:t xml:space="preserve">NSC Safety Congress &amp; Expo </w:t>
      </w:r>
      <w:r>
        <w:rPr>
          <w:b/>
          <w:bCs/>
        </w:rPr>
        <w:t>Topical Submission Guide</w:t>
      </w:r>
    </w:p>
    <w:p w:rsidR="000F78A1" w:rsidRDefault="00D5209F" w:rsidP="001B209F">
      <w:pPr>
        <w:spacing w:before="100" w:beforeAutospacing="1" w:after="100" w:afterAutospacing="1"/>
        <w:rPr>
          <w:color w:val="000000"/>
        </w:rPr>
      </w:pPr>
      <w:r>
        <w:rPr>
          <w:color w:val="000000"/>
        </w:rPr>
        <w:t>In addition to maturity model guidance, i</w:t>
      </w:r>
      <w:r w:rsidR="000F78A1">
        <w:rPr>
          <w:color w:val="000000"/>
        </w:rPr>
        <w:t xml:space="preserve">n reviewing data on average attendance per </w:t>
      </w:r>
      <w:r>
        <w:rPr>
          <w:color w:val="000000"/>
        </w:rPr>
        <w:t>track</w:t>
      </w:r>
      <w:r w:rsidR="000F78A1">
        <w:rPr>
          <w:color w:val="000000"/>
        </w:rPr>
        <w:t xml:space="preserve"> and examining the sessions that have made up each educational track, some notable changes </w:t>
      </w:r>
      <w:proofErr w:type="gramStart"/>
      <w:r w:rsidR="000F78A1">
        <w:rPr>
          <w:color w:val="000000"/>
        </w:rPr>
        <w:t xml:space="preserve">have been </w:t>
      </w:r>
      <w:r>
        <w:rPr>
          <w:color w:val="000000"/>
        </w:rPr>
        <w:t>adopted</w:t>
      </w:r>
      <w:proofErr w:type="gramEnd"/>
      <w:r w:rsidR="000F78A1">
        <w:rPr>
          <w:color w:val="000000"/>
        </w:rPr>
        <w:t>:</w:t>
      </w:r>
    </w:p>
    <w:p w:rsidR="00690D52" w:rsidRDefault="00690D52" w:rsidP="000F78A1">
      <w:pPr>
        <w:pStyle w:val="ListParagraph"/>
        <w:numPr>
          <w:ilvl w:val="0"/>
          <w:numId w:val="2"/>
        </w:numPr>
        <w:spacing w:before="100" w:beforeAutospacing="1" w:after="100" w:afterAutospacing="1"/>
        <w:rPr>
          <w:color w:val="000000"/>
        </w:rPr>
      </w:pPr>
      <w:r>
        <w:rPr>
          <w:color w:val="000000"/>
        </w:rPr>
        <w:t xml:space="preserve">Educational tracks are now largely aligned with factors of organizational </w:t>
      </w:r>
      <w:proofErr w:type="gramStart"/>
      <w:r>
        <w:rPr>
          <w:color w:val="000000"/>
        </w:rPr>
        <w:t>maturity which are also more closely aligned with ISO 45001</w:t>
      </w:r>
      <w:proofErr w:type="gramEnd"/>
      <w:r>
        <w:rPr>
          <w:color w:val="000000"/>
        </w:rPr>
        <w:t xml:space="preserve"> and ANSI Z10 definitions of safety management systems as well as Campbell Award criteria for EHS excellence.</w:t>
      </w:r>
    </w:p>
    <w:p w:rsidR="00302F0C" w:rsidRDefault="00302F0C" w:rsidP="00302F0C">
      <w:pPr>
        <w:pStyle w:val="ListParagraph"/>
        <w:numPr>
          <w:ilvl w:val="1"/>
          <w:numId w:val="2"/>
        </w:numPr>
        <w:spacing w:before="100" w:beforeAutospacing="1" w:after="100" w:afterAutospacing="1"/>
        <w:rPr>
          <w:color w:val="000000"/>
        </w:rPr>
      </w:pPr>
      <w:bookmarkStart w:id="0" w:name="_GoBack"/>
      <w:bookmarkEnd w:id="0"/>
      <w:r>
        <w:rPr>
          <w:color w:val="000000"/>
        </w:rPr>
        <w:t>Established in 2004, the international Robert W. Campbell Award recognizes organizations that achieve excellence through the integration of environmental, health and safety management into business operations. In an effort to foster the sharing of leading-edge EHS knowledge and best practices worldwide, Campbell Award winners and other thought leaders collaborated to create what is now the Campbell Institute. The Campbell Institute, at the National Safety Council, is the center of EHS Excellence.</w:t>
      </w:r>
    </w:p>
    <w:p w:rsidR="00944D5A" w:rsidRDefault="00690D52" w:rsidP="00944D5A">
      <w:pPr>
        <w:pStyle w:val="ListParagraph"/>
        <w:numPr>
          <w:ilvl w:val="0"/>
          <w:numId w:val="2"/>
        </w:numPr>
        <w:spacing w:before="100" w:beforeAutospacing="1" w:after="100" w:afterAutospacing="1"/>
        <w:rPr>
          <w:color w:val="000000"/>
        </w:rPr>
      </w:pPr>
      <w:r>
        <w:rPr>
          <w:color w:val="000000"/>
        </w:rPr>
        <w:t>Topics that made up NSC Divisional affiliations’ tracks (notably Construction/Labor/Utilities and Young Professionals) have been absorbed into the Regulatory Compliance &amp; Technical Topics and Safety Practitioner Competency &amp; Professional Development tracks, as well as other tracks.</w:t>
      </w:r>
    </w:p>
    <w:p w:rsidR="00944D5A" w:rsidRPr="00944D5A" w:rsidRDefault="00690D52" w:rsidP="00944D5A">
      <w:pPr>
        <w:pStyle w:val="ListParagraph"/>
        <w:numPr>
          <w:ilvl w:val="0"/>
          <w:numId w:val="2"/>
        </w:numPr>
        <w:spacing w:before="100" w:beforeAutospacing="1" w:after="100" w:afterAutospacing="1"/>
        <w:rPr>
          <w:rFonts w:asciiTheme="minorHAnsi" w:hAnsiTheme="minorHAnsi" w:cstheme="minorHAnsi"/>
          <w:color w:val="000000"/>
        </w:rPr>
      </w:pPr>
      <w:r w:rsidRPr="00944D5A">
        <w:rPr>
          <w:rFonts w:asciiTheme="minorHAnsi" w:hAnsiTheme="minorHAnsi" w:cstheme="minorHAnsi"/>
          <w:color w:val="000000"/>
        </w:rPr>
        <w:t xml:space="preserve">Rather than having tracks specific to </w:t>
      </w:r>
      <w:r w:rsidR="00944D5A" w:rsidRPr="00944D5A">
        <w:rPr>
          <w:rFonts w:asciiTheme="minorHAnsi" w:hAnsiTheme="minorHAnsi" w:cstheme="minorHAnsi"/>
          <w:color w:val="000000"/>
        </w:rPr>
        <w:t>Emerging Issues, Research to Practice</w:t>
      </w:r>
      <w:r w:rsidR="00944D5A">
        <w:rPr>
          <w:rFonts w:asciiTheme="minorHAnsi" w:hAnsiTheme="minorHAnsi" w:cstheme="minorHAnsi"/>
          <w:color w:val="000000"/>
        </w:rPr>
        <w:t xml:space="preserve">, and </w:t>
      </w:r>
      <w:r w:rsidRPr="00944D5A">
        <w:rPr>
          <w:rFonts w:asciiTheme="minorHAnsi" w:hAnsiTheme="minorHAnsi" w:cstheme="minorHAnsi"/>
          <w:color w:val="000000"/>
        </w:rPr>
        <w:t xml:space="preserve">Technology,  which could contain sessions on any topic, instead, submissions related to these have been encouraged through the Call for Papers splash page. We </w:t>
      </w:r>
      <w:r w:rsidR="00944D5A" w:rsidRPr="00944D5A">
        <w:rPr>
          <w:rFonts w:asciiTheme="minorHAnsi" w:hAnsiTheme="minorHAnsi" w:cstheme="minorHAnsi"/>
          <w:color w:val="000000"/>
        </w:rPr>
        <w:t xml:space="preserve">are encouraging submissions that </w:t>
      </w:r>
      <w:r w:rsidR="00944D5A">
        <w:rPr>
          <w:rFonts w:asciiTheme="minorHAnsi" w:hAnsiTheme="minorHAnsi" w:cstheme="minorHAnsi"/>
          <w:color w:val="000000"/>
        </w:rPr>
        <w:t>“</w:t>
      </w:r>
      <w:r w:rsidR="00944D5A" w:rsidRPr="00944D5A">
        <w:rPr>
          <w:rFonts w:asciiTheme="minorHAnsi" w:hAnsiTheme="minorHAnsi" w:cstheme="minorHAnsi"/>
          <w:color w:val="000000"/>
        </w:rPr>
        <w:t>p</w:t>
      </w:r>
      <w:r w:rsidR="00944D5A" w:rsidRPr="00944D5A">
        <w:rPr>
          <w:rFonts w:asciiTheme="minorHAnsi" w:eastAsia="Times New Roman" w:hAnsiTheme="minorHAnsi" w:cstheme="minorHAnsi"/>
          <w:color w:val="000000"/>
        </w:rPr>
        <w:t>rovide information and/or guidance that is evidence-based</w:t>
      </w:r>
      <w:r w:rsidR="00944D5A">
        <w:rPr>
          <w:rFonts w:asciiTheme="minorHAnsi" w:eastAsia="Times New Roman" w:hAnsiTheme="minorHAnsi" w:cstheme="minorHAnsi"/>
          <w:color w:val="000000"/>
        </w:rPr>
        <w:t>”</w:t>
      </w:r>
      <w:r w:rsidR="00944D5A" w:rsidRPr="00944D5A">
        <w:rPr>
          <w:rFonts w:asciiTheme="minorHAnsi" w:eastAsia="Times New Roman" w:hAnsiTheme="minorHAnsi" w:cstheme="minorHAnsi"/>
          <w:color w:val="000000"/>
        </w:rPr>
        <w:t xml:space="preserve"> and </w:t>
      </w:r>
      <w:r w:rsidR="00944D5A">
        <w:rPr>
          <w:rFonts w:asciiTheme="minorHAnsi" w:eastAsia="Times New Roman" w:hAnsiTheme="minorHAnsi" w:cstheme="minorHAnsi"/>
          <w:color w:val="000000"/>
        </w:rPr>
        <w:t>“</w:t>
      </w:r>
      <w:r w:rsidR="00944D5A" w:rsidRPr="00944D5A">
        <w:rPr>
          <w:rFonts w:asciiTheme="minorHAnsi" w:eastAsia="Times New Roman" w:hAnsiTheme="minorHAnsi" w:cstheme="minorHAnsi"/>
          <w:color w:val="000000"/>
        </w:rPr>
        <w:t>illustrate the use of technology to mitigate specific risks</w:t>
      </w:r>
      <w:r w:rsidR="00944D5A">
        <w:rPr>
          <w:rFonts w:asciiTheme="minorHAnsi" w:eastAsia="Times New Roman" w:hAnsiTheme="minorHAnsi" w:cstheme="minorHAnsi"/>
          <w:color w:val="000000"/>
        </w:rPr>
        <w:t xml:space="preserve">”. There is also an assumption that people will submit topics on emerging issues to improve their chances of acceptance and do not want to attempt to define those more explicitly. Submissions </w:t>
      </w:r>
      <w:r w:rsidR="00D5209F">
        <w:rPr>
          <w:rFonts w:asciiTheme="minorHAnsi" w:eastAsia="Times New Roman" w:hAnsiTheme="minorHAnsi" w:cstheme="minorHAnsi"/>
          <w:color w:val="000000"/>
        </w:rPr>
        <w:t>having these characteristics are preferred and</w:t>
      </w:r>
      <w:r w:rsidR="00944D5A">
        <w:rPr>
          <w:rFonts w:asciiTheme="minorHAnsi" w:eastAsia="Times New Roman" w:hAnsiTheme="minorHAnsi" w:cstheme="minorHAnsi"/>
          <w:color w:val="000000"/>
        </w:rPr>
        <w:t xml:space="preserve"> will flow into the new tracks so that any of the tracks could contain technology advancements, research, or topics on emerging issues.</w:t>
      </w:r>
    </w:p>
    <w:p w:rsidR="00690D52" w:rsidRPr="00944D5A" w:rsidRDefault="00944D5A" w:rsidP="000F78A1">
      <w:pPr>
        <w:pStyle w:val="ListParagraph"/>
        <w:numPr>
          <w:ilvl w:val="0"/>
          <w:numId w:val="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New tracks include “Contractor &amp; Supply Chain Management”, “Environmental &amp; Sustainability”, “Health &amp; Wellbeing”, “Safety Practitioner Competency &amp; Professional Development”, and “Workforce Communication &amp; Empowerment”. </w:t>
      </w:r>
      <w:r w:rsidR="00D5209F">
        <w:rPr>
          <w:rFonts w:asciiTheme="minorHAnsi" w:hAnsiTheme="minorHAnsi" w:cstheme="minorHAnsi"/>
          <w:color w:val="000000"/>
        </w:rPr>
        <w:t xml:space="preserve"> These either align closely with characterizations of safety management systems or have increasingly become part of a safety practitioners’ responsibilities within their organizations, necessitating their own tracks.</w:t>
      </w:r>
    </w:p>
    <w:p w:rsidR="001B209F" w:rsidRDefault="001B209F" w:rsidP="001B209F">
      <w:pPr>
        <w:spacing w:before="100" w:beforeAutospacing="1" w:after="100" w:afterAutospacing="1"/>
        <w:rPr>
          <w:color w:val="000000"/>
        </w:rPr>
      </w:pPr>
      <w:r>
        <w:rPr>
          <w:color w:val="000000"/>
        </w:rPr>
        <w:t xml:space="preserve">Below is a list of topical tracks and subject matter that the </w:t>
      </w:r>
      <w:r w:rsidR="00B97A4A">
        <w:rPr>
          <w:color w:val="000000"/>
        </w:rPr>
        <w:t xml:space="preserve">NSC </w:t>
      </w:r>
      <w:r>
        <w:rPr>
          <w:color w:val="000000"/>
        </w:rPr>
        <w:t xml:space="preserve">2021 </w:t>
      </w:r>
      <w:r w:rsidR="00B97A4A">
        <w:rPr>
          <w:color w:val="000000"/>
        </w:rPr>
        <w:t>Safety C</w:t>
      </w:r>
      <w:r>
        <w:rPr>
          <w:color w:val="000000"/>
        </w:rPr>
        <w:t xml:space="preserve">ongress </w:t>
      </w:r>
      <w:r w:rsidR="00B97A4A">
        <w:rPr>
          <w:color w:val="000000"/>
        </w:rPr>
        <w:t xml:space="preserve">&amp; Expo </w:t>
      </w:r>
      <w:r>
        <w:rPr>
          <w:color w:val="000000"/>
        </w:rPr>
        <w:t xml:space="preserve">Selection Committee requests you consider when determining your submission. These are subjects NSC is interested in including for this year’s programming of technical and professional development sessions. You are free to submit on any topic, but you may use this as a guide. </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Contractor &amp; Supply Chain Management</w:t>
      </w:r>
      <w:r>
        <w:rPr>
          <w:rFonts w:eastAsia="Times New Roman"/>
          <w:color w:val="1F497D"/>
        </w:rPr>
        <w:t xml:space="preserve"> (</w:t>
      </w:r>
      <w:r w:rsidR="000F78A1">
        <w:rPr>
          <w:rFonts w:eastAsia="Times New Roman"/>
          <w:color w:val="1F497D"/>
        </w:rPr>
        <w:t>NEW</w:t>
      </w:r>
      <w:r>
        <w:rPr>
          <w:rFonts w:eastAsia="Times New Roman"/>
          <w:color w:val="1F497D"/>
        </w:rPr>
        <w:t>)</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Environmental &amp; Sustainability</w:t>
      </w:r>
      <w:r>
        <w:rPr>
          <w:rFonts w:eastAsia="Times New Roman"/>
          <w:color w:val="1F497D"/>
        </w:rPr>
        <w:t xml:space="preserve"> (NEW)</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Corporate responsibility strategy</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Environmental stewardship</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Controlling exposures to the public</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Hazard Recognition &amp; Risk Management </w:t>
      </w:r>
      <w:r>
        <w:rPr>
          <w:rFonts w:eastAsia="Times New Roman"/>
          <w:color w:val="1F497D"/>
        </w:rPr>
        <w:t>(Formerly Risk Reduction, Management)</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Serious injury &amp; fatality prevention</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Risk assessment</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Emergency response planning &amp; incident command management</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Enterprise risk management</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Prevention through design</w:t>
      </w:r>
    </w:p>
    <w:p w:rsidR="001B209F" w:rsidRDefault="001B209F" w:rsidP="001B209F">
      <w:pPr>
        <w:numPr>
          <w:ilvl w:val="0"/>
          <w:numId w:val="1"/>
        </w:numPr>
        <w:spacing w:before="100" w:beforeAutospacing="1" w:after="100" w:afterAutospacing="1"/>
        <w:rPr>
          <w:rFonts w:eastAsia="Times New Roman"/>
        </w:rPr>
      </w:pPr>
      <w:r>
        <w:rPr>
          <w:rFonts w:eastAsia="Times New Roman"/>
          <w:color w:val="000000"/>
        </w:rPr>
        <w:t>Health &amp; Wellbeing</w:t>
      </w:r>
      <w:r>
        <w:rPr>
          <w:rFonts w:eastAsia="Times New Roman"/>
          <w:color w:val="1F497D"/>
        </w:rPr>
        <w:t xml:space="preserve"> (NEW)</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Medical record &amp; surveillance</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Injury/illness &amp; return to work case management</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Mental health</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Impairment (i.e., substance use, fatigue)</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lastRenderedPageBreak/>
        <w:t>Workplace wellbeing (i.e., psychological safety; diversity, equity &amp; inclusion)</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Off-the-job safety</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Operational Processes</w:t>
      </w:r>
      <w:r>
        <w:rPr>
          <w:rFonts w:eastAsia="Times New Roman"/>
          <w:color w:val="1F497D"/>
        </w:rPr>
        <w:t xml:space="preserve"> (</w:t>
      </w:r>
      <w:r w:rsidR="000F78A1">
        <w:rPr>
          <w:rFonts w:eastAsia="Times New Roman"/>
          <w:color w:val="1F497D"/>
        </w:rPr>
        <w:t>Formerly part of Operational/Technical/Regulatory</w:t>
      </w:r>
      <w:r>
        <w:rPr>
          <w:rFonts w:eastAsia="Times New Roman"/>
          <w:color w:val="1F497D"/>
        </w:rPr>
        <w:t>)</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Observation programs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Inspection &amp; maintenance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Industrial hygiene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Work permitting</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Management of change</w:t>
      </w:r>
    </w:p>
    <w:p w:rsidR="001B209F" w:rsidRDefault="001B209F" w:rsidP="001B209F">
      <w:pPr>
        <w:numPr>
          <w:ilvl w:val="0"/>
          <w:numId w:val="1"/>
        </w:numPr>
        <w:spacing w:before="100" w:beforeAutospacing="1" w:after="100" w:afterAutospacing="1"/>
        <w:rPr>
          <w:rFonts w:eastAsia="Times New Roman"/>
          <w:color w:val="1F497D"/>
        </w:rPr>
      </w:pPr>
      <w:r>
        <w:rPr>
          <w:rFonts w:eastAsia="Times New Roman"/>
          <w:color w:val="000000"/>
        </w:rPr>
        <w:t>Organizational Leadership</w:t>
      </w:r>
      <w:r>
        <w:rPr>
          <w:rFonts w:eastAsia="Times New Roman"/>
          <w:color w:val="1F497D"/>
        </w:rPr>
        <w:t xml:space="preserve"> (Formerly Executive Edge)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Integration of EHS with business processes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Program review</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Resource allocation</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Regulatory Compliance &amp; Technical Topics</w:t>
      </w:r>
      <w:r>
        <w:rPr>
          <w:rFonts w:eastAsia="Times New Roman"/>
          <w:color w:val="1F497D"/>
        </w:rPr>
        <w:t xml:space="preserve"> (Formerly </w:t>
      </w:r>
      <w:r w:rsidR="000F78A1">
        <w:rPr>
          <w:rFonts w:eastAsia="Times New Roman"/>
          <w:color w:val="1F497D"/>
        </w:rPr>
        <w:t xml:space="preserve">part of </w:t>
      </w:r>
      <w:r>
        <w:rPr>
          <w:rFonts w:eastAsia="Times New Roman"/>
          <w:color w:val="1F497D"/>
        </w:rPr>
        <w:t>Operational/Technical/Regulatory)</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Approaches to compliance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Electrical safety</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Ergonomics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Fall protection</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Fire protection/prevention</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Guarding/Lockout-</w:t>
      </w:r>
      <w:proofErr w:type="spellStart"/>
      <w:r>
        <w:rPr>
          <w:rFonts w:eastAsia="Times New Roman"/>
          <w:color w:val="000000"/>
        </w:rPr>
        <w:t>Tagout</w:t>
      </w:r>
      <w:proofErr w:type="spellEnd"/>
      <w:r>
        <w:rPr>
          <w:rFonts w:eastAsia="Times New Roman"/>
          <w:color w:val="000000"/>
        </w:rPr>
        <w:t>/Confined Space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Hazardous material handling/communication</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Personal protective equipment</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Roadway Safety </w:t>
      </w:r>
      <w:r>
        <w:rPr>
          <w:rFonts w:eastAsia="Times New Roman"/>
          <w:color w:val="1F497D"/>
        </w:rPr>
        <w:t>(Formerly Fleet Driver and Transportation Safety)</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Work zone safety best practices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Regulatory compliance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Motor vehicle safety training program</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Legal environment related to fleet (i.e., nuclear verdicts)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Vehicle selection</w:t>
      </w:r>
    </w:p>
    <w:p w:rsidR="001B209F" w:rsidRDefault="001B209F" w:rsidP="001B209F">
      <w:pPr>
        <w:numPr>
          <w:ilvl w:val="2"/>
          <w:numId w:val="1"/>
        </w:numPr>
        <w:spacing w:before="100" w:beforeAutospacing="1" w:after="100" w:afterAutospacing="1"/>
        <w:rPr>
          <w:rFonts w:eastAsia="Times New Roman"/>
          <w:color w:val="000000"/>
        </w:rPr>
      </w:pPr>
      <w:r>
        <w:rPr>
          <w:rFonts w:eastAsia="Times New Roman"/>
          <w:color w:val="000000"/>
        </w:rPr>
        <w:t>CAV</w:t>
      </w:r>
    </w:p>
    <w:p w:rsidR="001B209F" w:rsidRDefault="001B209F" w:rsidP="001B209F">
      <w:pPr>
        <w:numPr>
          <w:ilvl w:val="2"/>
          <w:numId w:val="1"/>
        </w:numPr>
        <w:spacing w:before="100" w:beforeAutospacing="1" w:after="100" w:afterAutospacing="1"/>
        <w:rPr>
          <w:rFonts w:eastAsia="Times New Roman"/>
          <w:color w:val="000000"/>
        </w:rPr>
      </w:pPr>
      <w:r>
        <w:rPr>
          <w:rFonts w:eastAsia="Times New Roman"/>
          <w:color w:val="000000"/>
        </w:rPr>
        <w:t>Electric Vehicles</w:t>
      </w:r>
    </w:p>
    <w:p w:rsidR="001B209F" w:rsidRDefault="001B209F" w:rsidP="001B209F">
      <w:pPr>
        <w:numPr>
          <w:ilvl w:val="2"/>
          <w:numId w:val="1"/>
        </w:numPr>
        <w:spacing w:before="100" w:beforeAutospacing="1" w:after="100" w:afterAutospacing="1"/>
        <w:rPr>
          <w:rFonts w:eastAsia="Times New Roman"/>
          <w:color w:val="000000"/>
        </w:rPr>
      </w:pPr>
      <w:r>
        <w:rPr>
          <w:rFonts w:eastAsia="Times New Roman"/>
          <w:color w:val="000000"/>
        </w:rPr>
        <w:t>ADAS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Effective use of telematics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Fleet safety best practices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Cognitive distraction</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Safety Information &amp; Performance Improvement </w:t>
      </w:r>
      <w:r>
        <w:rPr>
          <w:rFonts w:eastAsia="Times New Roman"/>
          <w:color w:val="1F497D"/>
        </w:rPr>
        <w:t>(Formerly Safety Performance Improvement)</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Recordkeeping</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Incident investigation &amp; root cause analysis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Best practice documentation &amp; benchmarking</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Assessments &amp; audits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Measurement</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Safety Management Systems</w:t>
      </w:r>
      <w:r>
        <w:rPr>
          <w:rFonts w:eastAsia="Times New Roman"/>
          <w:color w:val="1F497D"/>
        </w:rPr>
        <w:t xml:space="preserve"> (same)</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ISO 45001 or ANSI Z10</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 xml:space="preserve">Design &amp; implementation </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Safety Practitioner Competency &amp; Career Development</w:t>
      </w:r>
      <w:r w:rsidR="00944D5A">
        <w:rPr>
          <w:rFonts w:eastAsia="Times New Roman"/>
          <w:color w:val="000000"/>
        </w:rPr>
        <w:t xml:space="preserve"> </w:t>
      </w:r>
      <w:r w:rsidR="00944D5A">
        <w:rPr>
          <w:rFonts w:eastAsia="Times New Roman"/>
          <w:color w:val="1F497D"/>
        </w:rPr>
        <w:t>(Formerly part of Young Professionals)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Soft skills</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Diversity, equity &amp; inclusion</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EHS talent management &amp; mentorship</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Insurance &amp; risk transfer</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Business case for safety</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lastRenderedPageBreak/>
        <w:t>Training &amp; Competency Development</w:t>
      </w:r>
      <w:r>
        <w:rPr>
          <w:rFonts w:eastAsia="Times New Roman"/>
          <w:color w:val="1F497D"/>
        </w:rPr>
        <w:t xml:space="preserve"> (Formerly Training)</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Orientation &amp; training</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Talent management &amp; succession planning</w:t>
      </w:r>
    </w:p>
    <w:p w:rsidR="001B209F" w:rsidRDefault="001B209F" w:rsidP="001B209F">
      <w:pPr>
        <w:numPr>
          <w:ilvl w:val="1"/>
          <w:numId w:val="1"/>
        </w:numPr>
        <w:spacing w:before="100" w:beforeAutospacing="1" w:after="100" w:afterAutospacing="1"/>
        <w:rPr>
          <w:rFonts w:eastAsia="Times New Roman"/>
          <w:color w:val="000000"/>
        </w:rPr>
      </w:pPr>
      <w:r>
        <w:rPr>
          <w:rFonts w:eastAsia="Times New Roman"/>
          <w:color w:val="000000"/>
        </w:rPr>
        <w:t>Trends in safety training</w:t>
      </w:r>
    </w:p>
    <w:p w:rsidR="001B209F" w:rsidRDefault="001B209F" w:rsidP="001B209F">
      <w:pPr>
        <w:numPr>
          <w:ilvl w:val="0"/>
          <w:numId w:val="1"/>
        </w:numPr>
        <w:spacing w:before="100" w:beforeAutospacing="1" w:after="100" w:afterAutospacing="1"/>
        <w:rPr>
          <w:rFonts w:eastAsia="Times New Roman"/>
        </w:rPr>
      </w:pPr>
      <w:r>
        <w:rPr>
          <w:rFonts w:eastAsia="Times New Roman"/>
          <w:color w:val="000000"/>
        </w:rPr>
        <w:t>Workforce Communication &amp; Empowerment</w:t>
      </w:r>
      <w:r>
        <w:rPr>
          <w:rFonts w:eastAsia="Times New Roman"/>
          <w:color w:val="1F497D"/>
        </w:rPr>
        <w:t xml:space="preserve"> (NEW)</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Workforce participation &amp; engagement</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Safety teams and committees</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Recognition programs</w:t>
      </w:r>
    </w:p>
    <w:p w:rsidR="001B209F" w:rsidRDefault="001B209F" w:rsidP="001B209F">
      <w:pPr>
        <w:numPr>
          <w:ilvl w:val="1"/>
          <w:numId w:val="1"/>
        </w:numPr>
        <w:spacing w:before="100" w:beforeAutospacing="1" w:after="100" w:afterAutospacing="1"/>
        <w:rPr>
          <w:rFonts w:eastAsia="Times New Roman"/>
        </w:rPr>
      </w:pPr>
      <w:r>
        <w:rPr>
          <w:rFonts w:eastAsia="Times New Roman"/>
          <w:color w:val="000000"/>
        </w:rPr>
        <w:t>Capturing employee perceptions</w:t>
      </w:r>
    </w:p>
    <w:p w:rsidR="001B209F" w:rsidRDefault="001B209F" w:rsidP="001B209F">
      <w:pPr>
        <w:rPr>
          <w:rFonts w:ascii="Arial" w:hAnsi="Arial" w:cs="Arial"/>
          <w:sz w:val="20"/>
          <w:szCs w:val="20"/>
        </w:rPr>
      </w:pPr>
    </w:p>
    <w:p w:rsidR="001B209F" w:rsidRDefault="001B209F" w:rsidP="001B209F">
      <w:pPr>
        <w:rPr>
          <w:rFonts w:ascii="Arial" w:hAnsi="Arial" w:cs="Arial"/>
          <w:sz w:val="20"/>
          <w:szCs w:val="20"/>
        </w:rPr>
      </w:pPr>
      <w:r>
        <w:rPr>
          <w:rFonts w:ascii="Arial" w:hAnsi="Arial" w:cs="Arial"/>
          <w:sz w:val="20"/>
          <w:szCs w:val="20"/>
        </w:rPr>
        <w:t>Tracks:</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Contractor &amp; Supply Chain Management</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Environmental &amp; Sustainability</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Hazard Recognition &amp; Risk Management </w:t>
      </w:r>
    </w:p>
    <w:p w:rsidR="001B209F" w:rsidRDefault="001B209F" w:rsidP="001B209F">
      <w:pPr>
        <w:numPr>
          <w:ilvl w:val="0"/>
          <w:numId w:val="1"/>
        </w:numPr>
        <w:spacing w:before="100" w:beforeAutospacing="1" w:after="100" w:afterAutospacing="1"/>
        <w:rPr>
          <w:rFonts w:eastAsia="Times New Roman"/>
        </w:rPr>
      </w:pPr>
      <w:r>
        <w:rPr>
          <w:rFonts w:eastAsia="Times New Roman"/>
          <w:color w:val="000000"/>
        </w:rPr>
        <w:t>Health &amp; Wellbeing</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Operational Processes</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Organizational Leadership</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Regulatory Compliance &amp; Technical Topics</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Roadway Safety</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Safety Information &amp; Performance Improvement </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Safety Management Systems </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 xml:space="preserve">Safety Practitioner Competency &amp; Career Development </w:t>
      </w:r>
    </w:p>
    <w:p w:rsidR="001B209F" w:rsidRDefault="001B209F" w:rsidP="001B209F">
      <w:pPr>
        <w:numPr>
          <w:ilvl w:val="0"/>
          <w:numId w:val="1"/>
        </w:numPr>
        <w:spacing w:before="100" w:beforeAutospacing="1" w:after="100" w:afterAutospacing="1"/>
        <w:rPr>
          <w:rFonts w:eastAsia="Times New Roman"/>
          <w:color w:val="000000"/>
        </w:rPr>
      </w:pPr>
      <w:r>
        <w:rPr>
          <w:rFonts w:eastAsia="Times New Roman"/>
          <w:color w:val="000000"/>
        </w:rPr>
        <w:t>Training &amp; Competency Development</w:t>
      </w:r>
    </w:p>
    <w:p w:rsidR="001B209F" w:rsidRDefault="001B209F" w:rsidP="001B209F">
      <w:pPr>
        <w:numPr>
          <w:ilvl w:val="0"/>
          <w:numId w:val="1"/>
        </w:numPr>
        <w:spacing w:before="100" w:beforeAutospacing="1" w:after="100" w:afterAutospacing="1"/>
        <w:rPr>
          <w:rFonts w:eastAsia="Times New Roman"/>
        </w:rPr>
      </w:pPr>
      <w:r>
        <w:rPr>
          <w:rFonts w:eastAsia="Times New Roman"/>
          <w:color w:val="000000"/>
        </w:rPr>
        <w:t>Workforce Communication &amp; Empowerment</w:t>
      </w:r>
    </w:p>
    <w:p w:rsidR="006D6D06" w:rsidRDefault="006D6D06"/>
    <w:sectPr w:rsidR="006D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0D2"/>
    <w:multiLevelType w:val="hybridMultilevel"/>
    <w:tmpl w:val="04AC7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40F50"/>
    <w:multiLevelType w:val="multilevel"/>
    <w:tmpl w:val="29EA7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53014"/>
    <w:multiLevelType w:val="multilevel"/>
    <w:tmpl w:val="650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F"/>
    <w:rsid w:val="000F78A1"/>
    <w:rsid w:val="001B209F"/>
    <w:rsid w:val="00302F0C"/>
    <w:rsid w:val="00690D52"/>
    <w:rsid w:val="006D6D06"/>
    <w:rsid w:val="00944D5A"/>
    <w:rsid w:val="00B97A4A"/>
    <w:rsid w:val="00D5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BF6E"/>
  <w15:chartTrackingRefBased/>
  <w15:docId w15:val="{9924D76D-83C9-4B13-80EF-640D74E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6778">
      <w:bodyDiv w:val="1"/>
      <w:marLeft w:val="0"/>
      <w:marRight w:val="0"/>
      <w:marTop w:val="0"/>
      <w:marBottom w:val="0"/>
      <w:divBdr>
        <w:top w:val="none" w:sz="0" w:space="0" w:color="auto"/>
        <w:left w:val="none" w:sz="0" w:space="0" w:color="auto"/>
        <w:bottom w:val="none" w:sz="0" w:space="0" w:color="auto"/>
        <w:right w:val="none" w:sz="0" w:space="0" w:color="auto"/>
      </w:divBdr>
    </w:div>
    <w:div w:id="1090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Harper</dc:creator>
  <cp:keywords/>
  <dc:description/>
  <cp:lastModifiedBy>Hilda Koskiewicz</cp:lastModifiedBy>
  <cp:revision>3</cp:revision>
  <dcterms:created xsi:type="dcterms:W3CDTF">2020-11-10T16:49:00Z</dcterms:created>
  <dcterms:modified xsi:type="dcterms:W3CDTF">2020-11-11T17:04:00Z</dcterms:modified>
</cp:coreProperties>
</file>